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6FCE" w14:textId="77777777" w:rsidR="00DF3CB5" w:rsidRPr="00DF3CB5" w:rsidRDefault="00DF3CB5" w:rsidP="00DF3CB5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وَلَا يَأۡتَلِ أُوْلُواْ 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لۡفَضۡلِ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مِنكُمۡ وَ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لسَّعَةِ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 يُؤۡتُوٓاْ أُوْلِي 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لۡقُرۡبَىٰ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لۡمَسَٰكِينَ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لۡمُهَٰجِرِينَ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فِي سَبِيلِ 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للَّهِۖ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وَلۡيَعۡفُواْ وَلۡيَصۡفَحُوٓاْۗ أَلَا تُحِبُّونَ أَن يَغۡفِرَ 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لَكُمۡۚ وَ</w:t>
      </w:r>
      <w:r w:rsidRPr="00DF3C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F3C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DF3C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غَفُورٞ رَّحِيمٌ</w:t>
      </w:r>
    </w:p>
    <w:p w14:paraId="13776FED" w14:textId="445C2DA3" w:rsidR="00365D8E" w:rsidRDefault="00137EB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</w:t>
      </w:r>
      <w:r w:rsidR="007873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ن</w:t>
      </w:r>
      <w:r w:rsidR="00DF3C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ور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DF3C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22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7CD1B18B" w14:textId="4BF02501" w:rsidR="00DF3CB5" w:rsidRPr="00DF3CB5" w:rsidRDefault="00DF3CB5" w:rsidP="00DF3CB5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And let not those of virtue among you and wealth swear not to give [aid] to their relatives and the needy and the emigrants for the cause of </w:t>
      </w: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>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>h and</w:t>
      </w: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let them pardon and overlook. Would you not like that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>h should forgive you? And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F3CB5">
        <w:rPr>
          <w:rFonts w:ascii="TranslitLSBold" w:eastAsia="Times New Roman" w:hAnsi="TranslitLSBold" w:cs="Times New Roman"/>
          <w:color w:val="212529"/>
          <w:sz w:val="38"/>
          <w:szCs w:val="38"/>
        </w:rPr>
        <w:t>h is Forgiving and Merciful.</w:t>
      </w:r>
    </w:p>
    <w:p w14:paraId="6E63EEB7" w14:textId="7A278756" w:rsidR="00365D8E" w:rsidRPr="00365D8E" w:rsidRDefault="00C01F14" w:rsidP="007873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7873B5">
        <w:rPr>
          <w:rFonts w:ascii="KFGQPCHAFSUthmanicScript-Regula" w:hAnsi="KFGQPCHAFSUthmanicScript-Regula"/>
          <w:color w:val="FF0000"/>
          <w:sz w:val="38"/>
          <w:szCs w:val="38"/>
        </w:rPr>
        <w:t>N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-</w:t>
      </w:r>
      <w:r w:rsidR="00DF3CB5">
        <w:rPr>
          <w:rFonts w:ascii="KFGQPCHAFSUthmanicScript-Regula" w:hAnsi="KFGQPCHAFSUthmanicScript-Regula"/>
          <w:color w:val="FF0000"/>
          <w:sz w:val="38"/>
          <w:szCs w:val="38"/>
        </w:rPr>
        <w:t>Nour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DF3CB5">
        <w:rPr>
          <w:rFonts w:ascii="KFGQPCHAFSUthmanicScript-Regula" w:hAnsi="KFGQPCHAFSUthmanicScript-Regula"/>
          <w:color w:val="FF0000"/>
          <w:sz w:val="38"/>
          <w:szCs w:val="38"/>
        </w:rPr>
        <w:t>22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137EB0"/>
    <w:rsid w:val="002578D1"/>
    <w:rsid w:val="002A4835"/>
    <w:rsid w:val="00365D8E"/>
    <w:rsid w:val="003E5796"/>
    <w:rsid w:val="005E5668"/>
    <w:rsid w:val="00724854"/>
    <w:rsid w:val="007873B5"/>
    <w:rsid w:val="007F3F65"/>
    <w:rsid w:val="008A31F6"/>
    <w:rsid w:val="008B5F28"/>
    <w:rsid w:val="00930E2C"/>
    <w:rsid w:val="009507BC"/>
    <w:rsid w:val="00A32A92"/>
    <w:rsid w:val="00AE62C7"/>
    <w:rsid w:val="00C01F14"/>
    <w:rsid w:val="00CC50E4"/>
    <w:rsid w:val="00DF1D48"/>
    <w:rsid w:val="00DF3CB5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2022-10-30T16:01:00Z</dcterms:created>
  <dcterms:modified xsi:type="dcterms:W3CDTF">2022-10-30T16:01:00Z</dcterms:modified>
</cp:coreProperties>
</file>